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4706"/>
        <w:gridCol w:w="4706"/>
        <w:gridCol w:w="298"/>
        <w:gridCol w:w="2"/>
        <w:gridCol w:w="4857"/>
      </w:tblGrid>
      <w:tr>
        <w:trPr>
          <w:cantSplit w:val="false"/>
        </w:trPr>
        <w:tc>
          <w:tcPr>
            <w:tcW w:w="4706"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4C4C4C"/>
                <w:sz w:val="32"/>
                <w:szCs w:val="32"/>
              </w:rPr>
            </w:pPr>
            <w:r>
              <w:rPr>
                <w:rFonts w:cs="Arial Narrow" w:ascii="Arial Narrow" w:hAnsi="Arial Narrow"/>
                <w:b w:val="false"/>
                <w:i w:val="false"/>
                <w:color w:val="4C4C4C"/>
                <w:sz w:val="32"/>
                <w:szCs w:val="32"/>
              </w:rPr>
              <w:t>5. Wissenschaftlich Schreiben</w:t>
            </w:r>
          </w:p>
        </w:tc>
        <w:tc>
          <w:tcPr>
            <w:tcW w:w="4706" w:type="dxa"/>
            <w:tcBorders>
              <w:top w:val="nil"/>
              <w:left w:val="nil"/>
              <w:bottom w:val="nil"/>
              <w:insideH w:val="nil"/>
              <w:right w:val="nil"/>
              <w:insideV w:val="nil"/>
            </w:tcBorders>
            <w:shd w:fill="FFFFFF" w:val="clear"/>
          </w:tcPr>
          <w:p>
            <w:pPr>
              <w:pStyle w:val="Normal"/>
              <w:spacing w:lineRule="auto" w:line="288" w:before="0" w:after="113"/>
              <w:jc w:val="center"/>
              <w:rPr>
                <w:rFonts w:cs="Arial Narrow" w:ascii="Arial Narrow" w:hAnsi="Arial Narrow"/>
                <w:b w:val="false"/>
                <w:i w:val="false"/>
                <w:color w:val="4C4C4C"/>
                <w:sz w:val="32"/>
                <w:szCs w:val="32"/>
              </w:rPr>
            </w:pPr>
            <w:r>
              <w:rPr>
                <w:rFonts w:cs="Arial Narrow" w:ascii="Arial Narrow" w:hAnsi="Arial Narrow"/>
                <w:b w:val="false"/>
                <w:i w:val="false"/>
                <w:color w:val="4C4C4C"/>
                <w:sz w:val="32"/>
                <w:szCs w:val="32"/>
              </w:rPr>
              <w:t>und</w:t>
            </w:r>
          </w:p>
        </w:tc>
        <w:tc>
          <w:tcPr>
            <w:tcW w:w="298"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4C4C4C"/>
                <w:sz w:val="32"/>
                <w:szCs w:val="32"/>
              </w:rPr>
            </w:pPr>
            <w:r>
              <w:rPr>
                <w:rFonts w:cs="Arial Narrow" w:ascii="Arial Narrow" w:hAnsi="Arial Narrow"/>
                <w:b w:val="false"/>
                <w:i w:val="false"/>
                <w:color w:val="4C4C4C"/>
                <w:sz w:val="32"/>
                <w:szCs w:val="32"/>
              </w:rPr>
            </w:r>
          </w:p>
        </w:tc>
        <w:tc>
          <w:tcPr>
            <w:tcW w:w="4859" w:type="dxa"/>
            <w:gridSpan w:val="2"/>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32"/>
                <w:szCs w:val="32"/>
              </w:rPr>
            </w:pPr>
            <w:r>
              <w:rPr>
                <w:rFonts w:cs="Arial Narrow" w:ascii="Arial Narrow" w:hAnsi="Arial Narrow"/>
                <w:b w:val="false"/>
                <w:i w:val="false"/>
                <w:color w:val="333333"/>
                <w:sz w:val="32"/>
                <w:szCs w:val="32"/>
              </w:rPr>
              <w:t>Wissenschaftlich Arbeiten</w:t>
            </w:r>
          </w:p>
        </w:tc>
      </w:tr>
      <w:tr>
        <w:trPr>
          <w:cantSplit w:val="false"/>
        </w:trPr>
        <w:tc>
          <w:tcPr>
            <w:tcW w:w="4706" w:type="dxa"/>
            <w:tcBorders>
              <w:top w:val="single" w:sz="2" w:space="0" w:color="808080"/>
              <w:left w:val="single" w:sz="2" w:space="0" w:color="808080"/>
              <w:bottom w:val="single" w:sz="2" w:space="0" w:color="808080"/>
              <w:insideH w:val="single" w:sz="2" w:space="0" w:color="808080"/>
              <w:right w:val="nil"/>
              <w:insideV w:val="nil"/>
            </w:tcBorders>
            <w:shd w:fill="FFFFFF" w:val="clear"/>
            <w:tcMar>
              <w:left w:w="51" w:type="dxa"/>
            </w:tcMar>
          </w:tcPr>
          <w:p>
            <w:pPr>
              <w:pStyle w:val="Textkrper"/>
              <w:rPr>
                <w:rFonts w:eastAsia="Arial Unicode MS" w:cs="Arial Narrow" w:ascii="Arial Narrow" w:hAnsi="Arial Narrow"/>
                <w:b w:val="false"/>
                <w:i w:val="false"/>
                <w:color w:val="999999"/>
                <w:sz w:val="22"/>
                <w:szCs w:val="22"/>
                <w:lang w:val="de-DE" w:eastAsia="zh-CN" w:bidi="hi-IN"/>
              </w:rPr>
            </w:pPr>
            <w:r>
              <w:rPr>
                <w:rFonts w:eastAsia="Arial Narrow" w:cs="Arial Narrow" w:ascii="Arial Narrow" w:hAnsi="Arial Narrow"/>
                <w:b w:val="false"/>
                <w:i w:val="false"/>
                <w:color w:val="4C4C4C"/>
                <w:sz w:val="22"/>
                <w:szCs w:val="22"/>
                <w:lang w:val="de-DE" w:eastAsia="zh-CN" w:bidi="hi-IN"/>
              </w:rPr>
              <w:t>“</w:t>
            </w:r>
            <w:r>
              <w:rPr>
                <w:rFonts w:eastAsia="Arial Unicode MS" w:cs="Arial Narrow" w:ascii="Arial Narrow" w:hAnsi="Arial Narrow"/>
                <w:b w:val="false"/>
                <w:i w:val="false"/>
                <w:color w:val="4C4C4C"/>
                <w:sz w:val="22"/>
                <w:szCs w:val="22"/>
                <w:lang w:val="de-DE" w:eastAsia="zh-CN" w:bidi="hi-IN"/>
              </w:rPr>
              <w:t xml:space="preserve">Wenn ich weiter geblickt habe, so deshalb, </w:t>
              <w:br/>
              <w:t>weil ich auf den Schultern von Riesen stehe.“</w:t>
              <w:br/>
            </w:r>
            <w:r>
              <w:rPr>
                <w:rFonts w:eastAsia="Arial Unicode MS" w:cs="Arial Narrow" w:ascii="Arial Narrow" w:hAnsi="Arial Narrow"/>
                <w:b w:val="false"/>
                <w:i w:val="false"/>
                <w:color w:val="999999"/>
                <w:sz w:val="22"/>
                <w:szCs w:val="22"/>
                <w:lang w:val="de-DE" w:eastAsia="zh-CN" w:bidi="hi-IN"/>
              </w:rPr>
              <w:t>Isaac Newton in einem Brief an Robert Hooke</w:t>
              <w:br/>
              <w:t>Westfall, Richard: Isaac Newton. Eine Biographie. Spektrum Akademischer Verlag, Heidelberg/</w:t>
              <w:br/>
              <w:t>Berlin</w:t>
              <w:softHyphen/>
              <w:t>Oxford 1996, S. 143</w:t>
            </w:r>
          </w:p>
          <w:p>
            <w:pPr>
              <w:pStyle w:val="Textkrper"/>
              <w:rPr>
                <w:rFonts w:eastAsia="Arial Unicode MS" w:cs="Arial Narrow" w:ascii="Arial Narrow" w:hAnsi="Arial Narrow"/>
                <w:b w:val="false"/>
                <w:i w:val="false"/>
                <w:color w:val="4C4C4C"/>
                <w:sz w:val="22"/>
                <w:szCs w:val="22"/>
                <w:lang w:val="de-DE" w:eastAsia="zh-CN" w:bidi="hi-IN"/>
              </w:rPr>
            </w:pPr>
            <w:r>
              <w:rPr>
                <w:rFonts w:eastAsia="Arial Unicode MS" w:cs="Arial Narrow" w:ascii="Arial Narrow" w:hAnsi="Arial Narrow"/>
                <w:b w:val="false"/>
                <w:i w:val="false"/>
                <w:color w:val="4C4C4C"/>
                <w:sz w:val="22"/>
                <w:szCs w:val="22"/>
                <w:lang w:val="de-DE" w:eastAsia="zh-CN" w:bidi="hi-IN"/>
              </w:rPr>
              <w:t xml:space="preserve">Jedes wissenschaftliche Ergebnis baut auf zuvor </w:t>
              <w:br/>
              <w:t xml:space="preserve">erarbeitetes Wissen auf, durch wissenschaftliche </w:t>
              <w:br/>
              <w:t xml:space="preserve">Methoden erarbeitet und geprüft. Dem muss auch </w:t>
              <w:br/>
              <w:t>eine SFArbeit entsprechen.</w:t>
            </w:r>
          </w:p>
          <w:p>
            <w:pPr>
              <w:pStyle w:val="Textkrper"/>
              <w:spacing w:before="0" w:after="140"/>
              <w:rPr>
                <w:rFonts w:eastAsia="Arial Unicode MS" w:cs="Arial Narrow" w:ascii="Arial Narrow" w:hAnsi="Arial Narrow"/>
                <w:b w:val="false"/>
                <w:i/>
                <w:color w:val="4C4C4C"/>
                <w:sz w:val="22"/>
                <w:szCs w:val="22"/>
                <w:lang w:val="de-DE" w:eastAsia="zh-CN" w:bidi="hi-IN"/>
              </w:rPr>
            </w:pPr>
            <w:r>
              <w:rPr>
                <w:rFonts w:eastAsia="Arial Unicode MS" w:cs="Arial Narrow" w:ascii="Arial Narrow" w:hAnsi="Arial Narrow"/>
                <w:b w:val="false"/>
                <w:i w:val="false"/>
                <w:color w:val="4C4C4C"/>
                <w:sz w:val="22"/>
                <w:szCs w:val="22"/>
                <w:lang w:val="de-DE" w:eastAsia="zh-CN" w:bidi="hi-IN"/>
              </w:rPr>
              <w:t>Kriterien wissenschaftlichen Schreibens:</w:t>
              <w:br/>
            </w:r>
            <w:r>
              <w:rPr>
                <w:rFonts w:eastAsia="Arial Unicode MS" w:cs="Arial Narrow" w:ascii="Arial Narrow" w:hAnsi="Arial Narrow"/>
                <w:b w:val="false"/>
                <w:i/>
                <w:color w:val="4C4C4C"/>
                <w:sz w:val="22"/>
                <w:szCs w:val="22"/>
                <w:lang w:val="de-DE" w:eastAsia="zh-CN" w:bidi="hi-IN"/>
              </w:rPr>
              <w:t xml:space="preserve">_ </w:t>
            </w:r>
            <w:hyperlink r:id="rId2">
              <w:r>
                <w:rPr>
                  <w:rStyle w:val="Internetlink"/>
                  <w:rFonts w:eastAsia="Arial Unicode MS" w:cs="Arial Narrow" w:ascii="Arial Narrow" w:hAnsi="Arial Narrow"/>
                  <w:b w:val="false"/>
                  <w:i/>
                  <w:color w:val="4C4C4C"/>
                  <w:sz w:val="22"/>
                  <w:szCs w:val="22"/>
                  <w:lang w:val="de-DE" w:eastAsia="zh-CN" w:bidi="hi-IN"/>
                </w:rPr>
                <w:t>objektiv, gültig, zuverlässig und verständlich</w:t>
              </w:r>
            </w:hyperlink>
            <w:r>
              <w:rPr>
                <w:rFonts w:eastAsia="Arial Unicode MS" w:cs="Arial Narrow" w:ascii="Arial Narrow" w:hAnsi="Arial Narrow"/>
                <w:b w:val="false"/>
                <w:i/>
                <w:color w:val="4C4C4C"/>
                <w:sz w:val="22"/>
                <w:szCs w:val="22"/>
                <w:lang w:val="de-DE" w:eastAsia="zh-CN" w:bidi="hi-IN"/>
              </w:rPr>
              <w:br/>
              <w:t>_ systematisch, sachlich, präzise und eindeutig</w:t>
              <w:br/>
              <w:t xml:space="preserve">_ ergebnisorientiert mit klaren </w:t>
            </w:r>
            <w:hyperlink r:id="rId3">
              <w:r>
                <w:rPr>
                  <w:rStyle w:val="Internetlink"/>
                  <w:rFonts w:eastAsia="Arial Unicode MS" w:cs="Arial Narrow" w:ascii="Arial Narrow" w:hAnsi="Arial Narrow"/>
                  <w:b w:val="false"/>
                  <w:i/>
                  <w:color w:val="4C4C4C"/>
                  <w:sz w:val="22"/>
                  <w:szCs w:val="22"/>
                  <w:lang w:val="de-DE" w:eastAsia="zh-CN" w:bidi="hi-IN"/>
                </w:rPr>
                <w:t>Begriffen</w:t>
              </w:r>
            </w:hyperlink>
            <w:r>
              <w:rPr>
                <w:rFonts w:eastAsia="Arial Unicode MS" w:cs="Arial Narrow" w:ascii="Arial Narrow" w:hAnsi="Arial Narrow"/>
                <w:b w:val="false"/>
                <w:i/>
                <w:color w:val="4C4C4C"/>
                <w:sz w:val="22"/>
                <w:szCs w:val="22"/>
                <w:lang w:val="de-DE" w:eastAsia="zh-CN" w:bidi="hi-IN"/>
              </w:rPr>
              <w:br/>
              <w:t xml:space="preserve">_ </w:t>
            </w:r>
            <w:hyperlink r:id="rId4">
              <w:r>
                <w:rPr>
                  <w:rStyle w:val="Internetlink"/>
                  <w:rFonts w:eastAsia="Arial Unicode MS" w:cs="Arial Narrow" w:ascii="Arial Narrow" w:hAnsi="Arial Narrow"/>
                  <w:b w:val="false"/>
                  <w:i/>
                  <w:color w:val="4C4C4C"/>
                  <w:sz w:val="22"/>
                  <w:szCs w:val="22"/>
                  <w:lang w:val="de-DE" w:eastAsia="zh-CN" w:bidi="hi-IN"/>
                </w:rPr>
                <w:t>Argumentationen</w:t>
              </w:r>
            </w:hyperlink>
            <w:r>
              <w:rPr>
                <w:rFonts w:eastAsia="Arial Unicode MS" w:cs="Arial Narrow" w:ascii="Arial Narrow" w:hAnsi="Arial Narrow"/>
                <w:b w:val="false"/>
                <w:i/>
                <w:color w:val="4C4C4C"/>
                <w:sz w:val="22"/>
                <w:szCs w:val="22"/>
                <w:lang w:val="de-DE" w:eastAsia="zh-CN" w:bidi="hi-IN"/>
              </w:rPr>
              <w:t xml:space="preserve"> schlüssig und nachvollziehbar</w:t>
              <w:br/>
              <w:t>_ stets angegebene und eindeutige Quellenverweise</w:t>
              <w:br/>
              <w:t>_ korrekte und handhabbare Quellenangaben</w:t>
              <w:br/>
              <w:t xml:space="preserve">_ richtiges </w:t>
            </w:r>
            <w:hyperlink r:id="rId5">
              <w:r>
                <w:rPr>
                  <w:rStyle w:val="Internetlink"/>
                  <w:rFonts w:eastAsia="Arial Unicode MS" w:cs="Arial Narrow" w:ascii="Arial Narrow" w:hAnsi="Arial Narrow"/>
                  <w:b w:val="false"/>
                  <w:i/>
                  <w:color w:val="4C4C4C"/>
                  <w:sz w:val="22"/>
                  <w:szCs w:val="22"/>
                  <w:lang w:val="de-DE" w:eastAsia="zh-CN" w:bidi="hi-IN"/>
                </w:rPr>
                <w:t>Zitieren</w:t>
              </w:r>
            </w:hyperlink>
            <w:r>
              <w:rPr>
                <w:rFonts w:eastAsia="Arial Unicode MS" w:cs="Arial Narrow" w:ascii="Arial Narrow" w:hAnsi="Arial Narrow"/>
                <w:b w:val="false"/>
                <w:i/>
                <w:color w:val="4C4C4C"/>
                <w:sz w:val="22"/>
                <w:szCs w:val="22"/>
                <w:lang w:val="de-DE" w:eastAsia="zh-CN" w:bidi="hi-IN"/>
              </w:rPr>
              <w:br/>
              <w:t>_ Abbildungen in guter Qualität und inhaltlich eindeutig</w:t>
            </w:r>
          </w:p>
        </w:tc>
        <w:tc>
          <w:tcPr>
            <w:tcW w:w="4706" w:type="dxa"/>
            <w:tcBorders>
              <w:top w:val="single" w:sz="2" w:space="0" w:color="808080"/>
              <w:left w:val="nil"/>
              <w:bottom w:val="single" w:sz="2" w:space="0" w:color="808080"/>
              <w:insideH w:val="single" w:sz="2" w:space="0" w:color="808080"/>
              <w:right w:val="nil"/>
              <w:insideV w:val="nil"/>
            </w:tcBorders>
            <w:shd w:fill="FFFFFF" w:val="clear"/>
          </w:tcPr>
          <w:p>
            <w:pPr>
              <w:pStyle w:val="Textkrper"/>
              <w:rPr>
                <w:rFonts w:eastAsia="Arial Unicode MS" w:cs="Arial Narrow" w:ascii="Arial Narrow" w:hAnsi="Arial Narrow"/>
                <w:b w:val="false"/>
                <w:i w:val="false"/>
                <w:color w:val="4C4C4C"/>
                <w:sz w:val="22"/>
                <w:szCs w:val="22"/>
                <w:lang w:val="de-DE" w:eastAsia="zh-CN" w:bidi="hi-IN"/>
              </w:rPr>
            </w:pPr>
            <w:r>
              <w:rPr>
                <w:rFonts w:eastAsia="Arial Unicode MS" w:cs="Arial Narrow" w:ascii="Arial Narrow" w:hAnsi="Arial Narrow"/>
                <w:b w:val="false"/>
                <w:i w:val="false"/>
                <w:color w:val="4C4C4C"/>
                <w:sz w:val="22"/>
                <w:szCs w:val="22"/>
                <w:lang w:val="de-DE" w:eastAsia="zh-CN" w:bidi="hi-IN"/>
              </w:rPr>
              <w:t xml:space="preserve">Allgemeiner Aufbau </w:t>
              <w:br/>
              <w:t>einer wissenschaftlichen Arbeit:</w:t>
              <w:br/>
              <w:br/>
            </w:r>
            <w:r>
              <w:rPr>
                <w:rFonts w:eastAsia="Arial Narrow" w:cs="Arial Narrow" w:ascii="Arial Narrow" w:hAnsi="Arial Narrow"/>
                <w:b w:val="false"/>
                <w:i w:val="false"/>
                <w:color w:val="4C4C4C"/>
                <w:sz w:val="22"/>
                <w:szCs w:val="22"/>
                <w:lang w:val="de-DE" w:eastAsia="zh-CN" w:bidi="hi-IN"/>
              </w:rPr>
              <w:t xml:space="preserve">• </w:t>
            </w:r>
            <w:r>
              <w:rPr>
                <w:rFonts w:eastAsia="Arial Unicode MS" w:cs="Arial Narrow" w:ascii="Arial Narrow" w:hAnsi="Arial Narrow"/>
                <w:b w:val="false"/>
                <w:i w:val="false"/>
                <w:color w:val="4C4C4C"/>
                <w:sz w:val="22"/>
                <w:szCs w:val="22"/>
                <w:lang w:val="de-DE" w:eastAsia="zh-CN" w:bidi="hi-IN"/>
              </w:rPr>
              <w:t xml:space="preserve">Einleitung </w:t>
              <w:br/>
              <w:t>Thema in einen Gesamtzusammenhang einordnen</w:t>
              <w:br/>
              <w:t>Motivation und Sinn des Themas darlegen, …</w:t>
              <w:br/>
            </w:r>
            <w:hyperlink r:id="rId6">
              <w:r>
                <w:rPr>
                  <w:rStyle w:val="Internetlink"/>
                  <w:rFonts w:eastAsia="Arial Unicode MS" w:cs="Arial Narrow" w:ascii="Arial Narrow" w:hAnsi="Arial Narrow"/>
                  <w:b w:val="false"/>
                  <w:i w:val="false"/>
                  <w:color w:val="4C4C4C"/>
                  <w:sz w:val="22"/>
                  <w:szCs w:val="22"/>
                  <w:lang w:val="de-DE" w:eastAsia="zh-CN" w:bidi="hi-IN"/>
                </w:rPr>
                <w:t>Schlüsselbegriffe</w:t>
              </w:r>
            </w:hyperlink>
            <w:r>
              <w:rPr>
                <w:rFonts w:eastAsia="Arial Unicode MS" w:cs="Arial Narrow" w:ascii="Arial Narrow" w:hAnsi="Arial Narrow"/>
                <w:b w:val="false"/>
                <w:i w:val="false"/>
                <w:color w:val="4C4C4C"/>
                <w:sz w:val="22"/>
                <w:szCs w:val="22"/>
                <w:lang w:val="de-DE" w:eastAsia="zh-CN" w:bidi="hi-IN"/>
              </w:rPr>
              <w:t xml:space="preserve"> erklären </w:t>
            </w:r>
          </w:p>
          <w:p>
            <w:pPr>
              <w:pStyle w:val="Textkrper"/>
              <w:rPr>
                <w:rFonts w:eastAsia="Arial Unicode MS" w:cs="Arial Narrow" w:ascii="Arial Narrow" w:hAnsi="Arial Narrow"/>
                <w:b w:val="false"/>
                <w:i w:val="false"/>
                <w:color w:val="4C4C4C"/>
                <w:sz w:val="22"/>
                <w:szCs w:val="22"/>
                <w:lang w:val="de-DE" w:eastAsia="zh-CN" w:bidi="hi-IN"/>
              </w:rPr>
            </w:pPr>
            <w:r>
              <w:rPr>
                <w:rFonts w:eastAsia="Arial Narrow" w:cs="Arial Narrow" w:ascii="Arial Narrow" w:hAnsi="Arial Narrow"/>
                <w:b w:val="false"/>
                <w:i w:val="false"/>
                <w:color w:val="4C4C4C"/>
                <w:sz w:val="22"/>
                <w:szCs w:val="22"/>
                <w:lang w:val="de-DE" w:eastAsia="zh-CN" w:bidi="hi-IN"/>
              </w:rPr>
              <w:t xml:space="preserve">• </w:t>
            </w:r>
            <w:r>
              <w:rPr>
                <w:rFonts w:eastAsia="Arial Unicode MS" w:cs="Arial Narrow" w:ascii="Arial Narrow" w:hAnsi="Arial Narrow"/>
                <w:b w:val="false"/>
                <w:i w:val="false"/>
                <w:color w:val="4C4C4C"/>
                <w:sz w:val="22"/>
                <w:szCs w:val="22"/>
                <w:lang w:val="de-DE" w:eastAsia="zh-CN" w:bidi="hi-IN"/>
              </w:rPr>
              <w:t>Hauptteil</w:t>
              <w:br/>
              <w:t>Ausgangslage beschreiben</w:t>
              <w:br/>
              <w:t xml:space="preserve">Methoden erklären, </w:t>
            </w:r>
            <w:hyperlink r:id="rId7">
              <w:r>
                <w:rPr>
                  <w:rStyle w:val="Internetlink"/>
                  <w:rFonts w:eastAsia="Arial Unicode MS" w:cs="Arial Narrow" w:ascii="Arial Narrow" w:hAnsi="Arial Narrow"/>
                  <w:b w:val="false"/>
                  <w:i w:val="false"/>
                  <w:color w:val="4C4C4C"/>
                  <w:sz w:val="22"/>
                  <w:szCs w:val="22"/>
                  <w:lang w:val="de-DE" w:eastAsia="zh-CN" w:bidi="hi-IN"/>
                </w:rPr>
                <w:t>reflektieren</w:t>
              </w:r>
            </w:hyperlink>
            <w:r>
              <w:rPr>
                <w:rFonts w:eastAsia="Arial Unicode MS" w:cs="Arial Narrow" w:ascii="Arial Narrow" w:hAnsi="Arial Narrow"/>
                <w:b w:val="false"/>
                <w:i w:val="false"/>
                <w:color w:val="4C4C4C"/>
                <w:sz w:val="22"/>
                <w:szCs w:val="22"/>
                <w:lang w:val="de-DE" w:eastAsia="zh-CN" w:bidi="hi-IN"/>
              </w:rPr>
              <w:t xml:space="preserve"> und Auswahl begründen</w:t>
              <w:br/>
              <w:t>Ergebnisse entwickelnd darlegen; Argumentieren …</w:t>
              <w:br/>
              <w:t xml:space="preserve">Einzelbeiträge kennzeichnen, korrekte </w:t>
            </w:r>
            <w:hyperlink r:id="rId8">
              <w:r>
                <w:rPr>
                  <w:rStyle w:val="Internetlink"/>
                  <w:rFonts w:eastAsia="Arial Unicode MS" w:cs="Arial Narrow" w:ascii="Arial Narrow" w:hAnsi="Arial Narrow"/>
                  <w:b w:val="false"/>
                  <w:i w:val="false"/>
                  <w:color w:val="4C4C4C"/>
                  <w:sz w:val="22"/>
                  <w:szCs w:val="22"/>
                  <w:lang w:val="de-DE" w:eastAsia="zh-CN" w:bidi="hi-IN"/>
                </w:rPr>
                <w:t>Quellen</w:t>
              </w:r>
            </w:hyperlink>
            <w:r>
              <w:rPr>
                <w:rStyle w:val="Internetlink"/>
                <w:rFonts w:eastAsia="Arial Unicode MS" w:cs="Arial Narrow" w:ascii="Arial Narrow" w:hAnsi="Arial Narrow"/>
                <w:b w:val="false"/>
                <w:i w:val="false"/>
                <w:color w:val="4C4C4C"/>
                <w:sz w:val="22"/>
                <w:szCs w:val="22"/>
                <w:lang w:val="de-DE" w:eastAsia="zh-CN" w:bidi="hi-IN"/>
              </w:rPr>
              <w:t>verzeichnisse</w:t>
            </w:r>
            <w:r>
              <w:rPr>
                <w:rFonts w:eastAsia="Arial Unicode MS" w:cs="Arial Narrow" w:ascii="Arial Narrow" w:hAnsi="Arial Narrow"/>
                <w:b w:val="false"/>
                <w:i w:val="false"/>
                <w:color w:val="4C4C4C"/>
                <w:sz w:val="22"/>
                <w:szCs w:val="22"/>
                <w:lang w:val="de-DE" w:eastAsia="zh-CN" w:bidi="hi-IN"/>
              </w:rPr>
              <w:t xml:space="preserve"> </w:t>
            </w:r>
          </w:p>
          <w:p>
            <w:pPr>
              <w:pStyle w:val="Textkrper"/>
              <w:rPr>
                <w:rFonts w:eastAsia="Arial Unicode MS" w:cs="Arial Narrow" w:ascii="Arial Narrow" w:hAnsi="Arial Narrow"/>
                <w:b w:val="false"/>
                <w:i w:val="false"/>
                <w:color w:val="4C4C4C"/>
                <w:sz w:val="22"/>
                <w:szCs w:val="22"/>
                <w:lang w:val="de-DE" w:eastAsia="zh-CN" w:bidi="hi-IN"/>
              </w:rPr>
            </w:pPr>
            <w:r>
              <w:rPr>
                <w:rFonts w:eastAsia="Arial Narrow" w:cs="Arial Narrow" w:ascii="Arial Narrow" w:hAnsi="Arial Narrow"/>
                <w:b w:val="false"/>
                <w:i w:val="false"/>
                <w:color w:val="4C4C4C"/>
                <w:sz w:val="22"/>
                <w:szCs w:val="22"/>
                <w:lang w:val="de-DE" w:eastAsia="zh-CN" w:bidi="hi-IN"/>
              </w:rPr>
              <w:t xml:space="preserve">• </w:t>
            </w:r>
            <w:r>
              <w:rPr>
                <w:rFonts w:eastAsia="Arial Unicode MS" w:cs="Arial Narrow" w:ascii="Arial Narrow" w:hAnsi="Arial Narrow"/>
                <w:b w:val="false"/>
                <w:i w:val="false"/>
                <w:color w:val="4C4C4C"/>
                <w:sz w:val="22"/>
                <w:szCs w:val="22"/>
                <w:lang w:val="de-DE" w:eastAsia="zh-CN" w:bidi="hi-IN"/>
              </w:rPr>
              <w:t xml:space="preserve">Fazit </w:t>
              <w:br/>
              <w:t xml:space="preserve">Ergebnis der Arbeit </w:t>
            </w:r>
            <w:hyperlink r:id="rId9">
              <w:r>
                <w:rPr>
                  <w:rStyle w:val="Internetlink"/>
                  <w:rFonts w:eastAsia="Arial Unicode MS" w:cs="Arial Narrow" w:ascii="Arial Narrow" w:hAnsi="Arial Narrow"/>
                  <w:b w:val="false"/>
                  <w:i w:val="false"/>
                  <w:color w:val="4C4C4C"/>
                  <w:sz w:val="22"/>
                  <w:szCs w:val="22"/>
                  <w:lang w:val="de-DE" w:eastAsia="zh-CN" w:bidi="hi-IN"/>
                </w:rPr>
                <w:t>kommentieren</w:t>
              </w:r>
            </w:hyperlink>
            <w:r>
              <w:rPr>
                <w:rFonts w:eastAsia="Arial Unicode MS" w:cs="Arial Narrow" w:ascii="Arial Narrow" w:hAnsi="Arial Narrow"/>
                <w:b w:val="false"/>
                <w:i w:val="false"/>
                <w:color w:val="4C4C4C"/>
                <w:sz w:val="22"/>
                <w:szCs w:val="22"/>
                <w:lang w:val="de-DE" w:eastAsia="zh-CN" w:bidi="hi-IN"/>
              </w:rPr>
              <w:t xml:space="preserve"> und diskutieren</w:t>
            </w:r>
          </w:p>
          <w:p>
            <w:pPr>
              <w:pStyle w:val="Textkrper"/>
              <w:rPr>
                <w:rFonts w:eastAsia="Arial Unicode MS" w:cs="Arial Narrow" w:ascii="Arial Narrow" w:hAnsi="Arial Narrow"/>
                <w:b w:val="false"/>
                <w:i w:val="false"/>
                <w:color w:val="4C4C4C"/>
                <w:sz w:val="22"/>
                <w:szCs w:val="22"/>
                <w:lang w:val="de-DE" w:eastAsia="zh-CN" w:bidi="hi-IN"/>
              </w:rPr>
            </w:pPr>
            <w:r>
              <w:rPr>
                <w:rFonts w:eastAsia="Arial Narrow" w:cs="Arial Narrow" w:ascii="Arial Narrow" w:hAnsi="Arial Narrow"/>
                <w:b w:val="false"/>
                <w:i w:val="false"/>
                <w:color w:val="4C4C4C"/>
                <w:sz w:val="22"/>
                <w:szCs w:val="22"/>
                <w:lang w:val="de-DE" w:eastAsia="zh-CN" w:bidi="hi-IN"/>
              </w:rPr>
              <w:t xml:space="preserve">• </w:t>
            </w:r>
            <w:r>
              <w:rPr>
                <w:rFonts w:eastAsia="Arial Unicode MS" w:cs="Arial Narrow" w:ascii="Arial Narrow" w:hAnsi="Arial Narrow"/>
                <w:b w:val="false"/>
                <w:i w:val="false"/>
                <w:color w:val="4C4C4C"/>
                <w:sz w:val="22"/>
                <w:szCs w:val="22"/>
                <w:lang w:val="de-DE" w:eastAsia="zh-CN" w:bidi="hi-IN"/>
              </w:rPr>
              <w:t xml:space="preserve">Anhang </w:t>
              <w:br/>
            </w:r>
            <w:hyperlink r:id="rId10">
              <w:r>
                <w:rPr>
                  <w:rStyle w:val="Internetlink"/>
                  <w:rFonts w:eastAsia="Arial Unicode MS" w:cs="Arial Narrow" w:ascii="Arial Narrow" w:hAnsi="Arial Narrow"/>
                  <w:b w:val="false"/>
                  <w:i w:val="false"/>
                  <w:color w:val="4C4C4C"/>
                  <w:sz w:val="22"/>
                  <w:szCs w:val="22"/>
                  <w:lang w:val="de-DE" w:eastAsia="zh-CN" w:bidi="hi-IN"/>
                </w:rPr>
                <w:t>Quellen-</w:t>
              </w:r>
            </w:hyperlink>
            <w:r>
              <w:rPr>
                <w:rFonts w:eastAsia="Arial Unicode MS" w:cs="Arial Narrow" w:ascii="Arial Narrow" w:hAnsi="Arial Narrow"/>
                <w:b w:val="false"/>
                <w:i w:val="false"/>
                <w:color w:val="4C4C4C"/>
                <w:sz w:val="22"/>
                <w:szCs w:val="22"/>
                <w:lang w:val="de-DE" w:eastAsia="zh-CN" w:bidi="hi-IN"/>
              </w:rPr>
              <w:t xml:space="preserve">, und Abbildungsverzeichnis, Glossar, Register, Protokolle, Dokumentationen, … </w:t>
            </w:r>
          </w:p>
          <w:p>
            <w:pPr>
              <w:pStyle w:val="Textkrper"/>
              <w:spacing w:lineRule="auto" w:line="288" w:before="0" w:after="113"/>
              <w:rPr>
                <w:rFonts w:eastAsia="Arial Unicode MS" w:cs="Arial Narrow" w:ascii="Arial Narrow" w:hAnsi="Arial Narrow"/>
                <w:b w:val="false"/>
                <w:i w:val="false"/>
                <w:color w:val="4C4C4C"/>
                <w:sz w:val="22"/>
                <w:szCs w:val="22"/>
                <w:lang w:val="de-DE" w:eastAsia="zh-CN" w:bidi="hi-IN"/>
              </w:rPr>
            </w:pPr>
            <w:r>
              <w:rPr>
                <w:rFonts w:eastAsia="Arial Narrow" w:cs="Arial Narrow" w:ascii="Arial Narrow" w:hAnsi="Arial Narrow"/>
                <w:b w:val="false"/>
                <w:i w:val="false"/>
                <w:color w:val="4C4C4C"/>
                <w:sz w:val="22"/>
                <w:szCs w:val="22"/>
                <w:lang w:val="de-DE" w:eastAsia="zh-CN" w:bidi="hi-IN"/>
              </w:rPr>
              <w:t xml:space="preserve">• </w:t>
            </w:r>
            <w:r>
              <w:rPr>
                <w:rFonts w:eastAsia="Arial Unicode MS" w:cs="Arial Narrow" w:ascii="Arial Narrow" w:hAnsi="Arial Narrow"/>
                <w:b w:val="false"/>
                <w:i w:val="false"/>
                <w:color w:val="4C4C4C"/>
                <w:sz w:val="22"/>
                <w:szCs w:val="22"/>
                <w:lang w:val="de-DE" w:eastAsia="zh-CN" w:bidi="hi-IN"/>
              </w:rPr>
              <w:t>Eidesstattliche Erklärung …</w:t>
            </w:r>
          </w:p>
        </w:tc>
        <w:tc>
          <w:tcPr>
            <w:tcW w:w="298" w:type="dxa"/>
            <w:tcBorders>
              <w:top w:val="nil"/>
              <w:left w:val="single" w:sz="2" w:space="0" w:color="808080"/>
              <w:bottom w:val="nil"/>
              <w:insideH w:val="nil"/>
              <w:right w:val="nil"/>
              <w:insideV w:val="nil"/>
            </w:tcBorders>
            <w:shd w:fill="FFFFFF" w:val="clear"/>
            <w:tcMar>
              <w:left w:w="51" w:type="dxa"/>
            </w:tcMar>
          </w:tcPr>
          <w:p>
            <w:pPr>
              <w:pStyle w:val="Textkrper"/>
              <w:spacing w:lineRule="auto" w:line="288" w:before="0" w:after="140"/>
              <w:rPr/>
            </w:pPr>
            <w:r>
              <w:rPr/>
            </w:r>
          </w:p>
        </w:tc>
        <w:tc>
          <w:tcPr>
            <w:tcW w:w="4859" w:type="dxa"/>
            <w:gridSpan w:val="2"/>
            <w:vMerge w:val="restart"/>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Wissenschaftliches Arbeiten erfolgt nach bestimmten Merkmalen und unterscheidet sich von journalistischem Arbeiten, von Dichten oder alltäglichen Gesprächen. Solche Merkmale sind zwar nicht immer detailliert festge</w:t>
              <w:softHyphen/>
              <w:t>schrieben, gleichwohl sind die im Folgenden dargestellten Grundzüge allgemein anerkannt.</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Wissenschaftliches Arbeiten beruht nicht nur auf der Wiedergabe vorliegender oder zusammengestellter Gedan</w:t>
              <w:softHyphen/>
              <w:t>ken oder Texte, sondern auf einer intensiven und eigen</w:t>
              <w:softHyphen/>
              <w:t>ständigen Auseinandersetzung mit fremden Gedanken: begründete Vermutungen werden aufgestellt, Begriffe erklärt und hinterfragt, Definitionen analysiert, Argumen</w:t>
              <w:softHyphen/>
              <w:t>tationen kritisiert, Zusammenhänge hergestellt, eigene Perspektiven erarbeitet und begründet usw. Die eigen</w:t>
              <w:softHyphen/>
              <w:t>ständige Gedankenarbeit ermöglicht nicht nur das Ver</w:t>
              <w:softHyphen/>
              <w:t>stehen fremder Gedanken, sondern eröffnet den Blick auf neue Aspekte des Forschungsgegenstandes. Vor dem Hintergrund wissenschaftlicher Ansprüche wird die Innenwelt des Individuums erweitert – eigene Gedanken werden auf ihren Realitätsgehalt überprüft und der Diskus</w:t>
              <w:softHyphen/>
              <w:t>sion ausgesetzt. So können nach individuellem Aneignen des aktuellen Forschungsstands weitere Erkenntnisse erzielt werden.</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Wissenschaftliches Arbeiten ist systematisch und argu</w:t>
              <w:softHyphen/>
              <w:t>mentativ, d.h., Aufbau, Gliederung und Eigenart der Arbeit folgen zielorientiert einer inneren Logik, die der Verfasser hierfür benennt und begründet. Man beschreibt und be</w:t>
              <w:softHyphen/>
              <w:t>gründet sämtliche Aspekte des Vorgehens. Ein methodisch kontrolliertes Verfahren ermöglicht und erleichtert die Prüfung und ggf. eine Wiederholung der Forschungsarbeit (z.B. für ähnliche Vorhaben in anderen Zusammenhängen).</w:t>
            </w:r>
          </w:p>
        </w:tc>
      </w:tr>
      <w:tr>
        <w:trPr>
          <w:cantSplit w:val="false"/>
        </w:trPr>
        <w:tc>
          <w:tcPr>
            <w:tcW w:w="4706" w:type="dxa"/>
            <w:tcBorders>
              <w:top w:val="nil"/>
              <w:left w:val="nil"/>
              <w:bottom w:val="nil"/>
              <w:insideH w:val="nil"/>
              <w:right w:val="nil"/>
              <w:insideV w:val="nil"/>
            </w:tcBorders>
            <w:shd w:fill="FFFFFF" w:val="clear"/>
          </w:tcPr>
          <w:p>
            <w:pPr>
              <w:pStyle w:val="Normal"/>
              <w:spacing w:lineRule="auto" w:line="288" w:before="0" w:after="0"/>
              <w:rPr>
                <w:rFonts w:cs="Arial Narrow" w:ascii="Arial Narrow" w:hAnsi="Arial Narrow"/>
              </w:rPr>
            </w:pPr>
            <w:r>
              <w:rPr>
                <w:rFonts w:cs="Arial Narrow" w:ascii="Arial Narrow" w:hAnsi="Arial Narrow"/>
              </w:rPr>
            </w:r>
          </w:p>
        </w:tc>
        <w:tc>
          <w:tcPr>
            <w:tcW w:w="5004" w:type="dxa"/>
            <w:gridSpan w:val="2"/>
            <w:tcBorders>
              <w:top w:val="nil"/>
              <w:left w:val="nil"/>
              <w:bottom w:val="nil"/>
              <w:insideH w:val="nil"/>
              <w:right w:val="nil"/>
              <w:insideV w:val="nil"/>
            </w:tcBorders>
            <w:shd w:fill="FFFFFF" w:val="clear"/>
          </w:tcPr>
          <w:p>
            <w:pPr>
              <w:pStyle w:val="Normal"/>
              <w:spacing w:lineRule="auto" w:line="288" w:before="0" w:after="0"/>
              <w:rPr>
                <w:rFonts w:cs="Arial Narrow" w:ascii="Arial Narrow" w:hAnsi="Arial Narrow"/>
              </w:rPr>
            </w:pPr>
            <w:r>
              <w:rPr>
                <w:rFonts w:cs="Arial Narrow" w:ascii="Arial Narrow" w:hAnsi="Arial Narrow"/>
              </w:rPr>
            </w:r>
          </w:p>
          <w:p>
            <w:pPr>
              <w:pStyle w:val="Normal"/>
              <w:spacing w:lineRule="auto" w:line="288" w:before="0" w:after="0"/>
              <w:rPr>
                <w:rFonts w:cs="Arial Narrow" w:ascii="Arial Narrow" w:hAnsi="Arial Narrow"/>
              </w:rPr>
            </w:pPr>
            <w:r>
              <w:rPr>
                <w:rFonts w:cs="Arial Narrow" w:ascii="Arial Narrow" w:hAnsi="Arial Narrow"/>
              </w:rPr>
            </w:r>
          </w:p>
          <w:p>
            <w:pPr>
              <w:pStyle w:val="Normal"/>
              <w:spacing w:lineRule="auto" w:line="288" w:before="0" w:after="0"/>
              <w:rPr>
                <w:rFonts w:cs="Arial Narrow" w:ascii="Arial Narrow" w:hAnsi="Arial Narrow"/>
              </w:rPr>
            </w:pPr>
            <w:r>
              <w:rPr>
                <w:rFonts w:cs="Arial Narrow" w:ascii="Arial Narrow" w:hAnsi="Arial Narrow"/>
              </w:rPr>
            </w:r>
          </w:p>
          <w:p>
            <w:pPr>
              <w:pStyle w:val="Normal"/>
              <w:spacing w:lineRule="auto" w:line="288" w:before="0" w:after="0"/>
              <w:rPr>
                <w:rFonts w:cs="Arial Narrow" w:ascii="Arial Narrow" w:hAnsi="Arial Narrow"/>
                <w:b w:val="false"/>
                <w:i w:val="false"/>
                <w:color w:val="999999"/>
                <w:sz w:val="20"/>
                <w:szCs w:val="20"/>
              </w:rPr>
            </w:pPr>
            <w:r>
              <w:rPr>
                <w:rFonts w:cs="Arial Narrow" w:ascii="Arial Narrow" w:hAnsi="Arial Narrow"/>
                <w:b w:val="false"/>
                <w:i w:val="false"/>
                <w:color w:val="999999"/>
                <w:sz w:val="20"/>
                <w:szCs w:val="20"/>
              </w:rPr>
              <w:t>Mit freundlicher Genehmigung des nebenstehenden Textes und vorgenommener Präzisierungen für das Seminarfach urheberseits Herrn Prof. Dr. Thorsten Bohl, Professor für Erziehungswissen</w:t>
              <w:softHyphen/>
              <w:t>schaft, tätig am Institut für Erziehungswissenschaft an der Universität Tübingen.</w:t>
              <w:br/>
              <w:t xml:space="preserve"> Aus: Bohl, Thorsten: Wissenschaftliches Arbeiten im Studium der Pädagogik. Basel 2006. Gefunden u.a. auf</w:t>
            </w:r>
          </w:p>
        </w:tc>
        <w:tc>
          <w:tcPr>
            <w:tcW w:w="4859" w:type="dxa"/>
            <w:gridSpan w:val="2"/>
            <w:vMerge w:val="continue"/>
            <w:tcBorders>
              <w:top w:val="nil"/>
              <w:left w:val="nil"/>
              <w:bottom w:val="nil"/>
              <w:insideH w:val="nil"/>
              <w:right w:val="nil"/>
              <w:insideV w:val="nil"/>
            </w:tcBorders>
            <w:shd w:fill="FFFFFF" w:val="clear"/>
          </w:tcPr>
          <w:p>
            <w:pPr>
              <w:pStyle w:val="TabellenInhalt"/>
              <w:rPr>
                <w:rFonts w:cs="Arial Narrow" w:ascii="Arial Narrow" w:hAnsi="Arial Narrow"/>
                <w:color w:val="333333"/>
                <w:sz w:val="22"/>
                <w:szCs w:val="22"/>
              </w:rPr>
            </w:pPr>
            <w:r>
              <w:rPr>
                <w:rFonts w:cs="Arial Narrow" w:ascii="Arial Narrow" w:hAnsi="Arial Narrow"/>
                <w:color w:val="333333"/>
                <w:sz w:val="22"/>
                <w:szCs w:val="22"/>
              </w:rPr>
            </w:r>
          </w:p>
        </w:tc>
      </w:tr>
      <w:tr>
        <w:trPr>
          <w:cantSplit w:val="false"/>
        </w:trPr>
        <w:tc>
          <w:tcPr>
            <w:tcW w:w="9712" w:type="dxa"/>
            <w:gridSpan w:val="4"/>
            <w:tcBorders>
              <w:top w:val="nil"/>
              <w:left w:val="nil"/>
              <w:bottom w:val="nil"/>
              <w:insideH w:val="nil"/>
              <w:right w:val="nil"/>
              <w:insideV w:val="nil"/>
            </w:tcBorders>
            <w:shd w:fill="FFFFFF" w:val="clear"/>
          </w:tcPr>
          <w:p>
            <w:pPr>
              <w:pStyle w:val="Normal"/>
              <w:spacing w:lineRule="auto" w:line="288" w:before="0" w:after="113"/>
              <w:jc w:val="right"/>
              <w:rPr>
                <w:rFonts w:cs="Arial Narrow" w:ascii="Arial Narrow" w:hAnsi="Arial Narrow"/>
                <w:b w:val="false"/>
                <w:i w:val="false"/>
                <w:color w:val="999999"/>
                <w:sz w:val="20"/>
                <w:szCs w:val="20"/>
              </w:rPr>
            </w:pPr>
            <w:hyperlink r:id="rId11">
              <w:r>
                <w:rPr>
                  <w:rStyle w:val="Internetlink"/>
                  <w:rFonts w:cs="Arial Narrow" w:ascii="Arial Narrow" w:hAnsi="Arial Narrow"/>
                  <w:b w:val="false"/>
                  <w:i w:val="false"/>
                  <w:color w:val="999999"/>
                  <w:sz w:val="20"/>
                  <w:szCs w:val="20"/>
                  <w:u w:val="none"/>
                </w:rPr>
                <w:t>http://blogs.epb.uni-hamburg.de/karin/files/2014/04/Bohl_Wissenschaftl_Arbeiten-P%C3%A4dagogik.pdf</w:t>
              </w:r>
            </w:hyperlink>
            <w:r>
              <w:rPr>
                <w:rFonts w:cs="Arial Narrow" w:ascii="Arial Narrow" w:hAnsi="Arial Narrow"/>
                <w:b w:val="false"/>
                <w:i w:val="false"/>
                <w:color w:val="999999"/>
                <w:sz w:val="20"/>
                <w:szCs w:val="20"/>
              </w:rPr>
              <w:t xml:space="preserve">     161127|15.16  </w:t>
            </w:r>
          </w:p>
        </w:tc>
        <w:tc>
          <w:tcPr>
            <w:tcW w:w="4857" w:type="dxa"/>
            <w:vMerge w:val="continue"/>
            <w:tcBorders>
              <w:top w:val="nil"/>
              <w:left w:val="nil"/>
              <w:bottom w:val="nil"/>
              <w:insideH w:val="nil"/>
              <w:right w:val="nil"/>
              <w:insideV w:val="nil"/>
            </w:tcBorders>
            <w:shd w:fill="FFFFFF" w:val="clear"/>
          </w:tcPr>
          <w:p>
            <w:pPr>
              <w:pStyle w:val="TabellenInhalt"/>
              <w:rPr>
                <w:rFonts w:cs="Arial Narrow" w:ascii="Arial Narrow" w:hAnsi="Arial Narrow"/>
                <w:color w:val="333333"/>
                <w:sz w:val="22"/>
                <w:szCs w:val="22"/>
              </w:rPr>
            </w:pPr>
            <w:r>
              <w:rPr>
                <w:rFonts w:cs="Arial Narrow" w:ascii="Arial Narrow" w:hAnsi="Arial Narrow"/>
                <w:color w:val="333333"/>
                <w:sz w:val="22"/>
                <w:szCs w:val="22"/>
              </w:rPr>
            </w:r>
          </w:p>
        </w:tc>
      </w:tr>
    </w:tbl>
    <w:p>
      <w:pPr>
        <w:pStyle w:val="Normal"/>
        <w:rPr/>
      </w:pPr>
      <w:r>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4856"/>
        <w:gridCol w:w="4854"/>
        <w:gridCol w:w="4860"/>
      </w:tblGrid>
      <w:tr>
        <w:trPr>
          <w:cantSplit w:val="false"/>
        </w:trPr>
        <w:tc>
          <w:tcPr>
            <w:tcW w:w="4856"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Dies ist eine fundamentale Anfor</w:t>
              <w:softHyphen/>
              <w:t>derung an wissenschaft</w:t>
              <w:softHyphen/>
              <w:t>liches Arbeiten, die nicht zuletzt die sorgfältige Detail</w:t>
              <w:softHyphen/>
              <w:t>arbeit begründet, welche mühselig wird und langwierig werden kann.</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Wissenschaftstheoretisch gesehen muss jeder, der denselben methodischen Weg einschlägt, auch zum selben Ergebnis kommen. Das systematische und gründ</w:t>
              <w:softHyphen/>
              <w:t>lich dokumentierte Vorgehen erfolgt immer im Hinblick auf die zu untersuchende Fragestellung. Das Vorgehen ist daher zielorientiert. Nur mittels eines methodisch kontrol</w:t>
              <w:softHyphen/>
              <w:t xml:space="preserve">lierten Verfahrens kann Allgemeingültigkeit </w:t>
              <w:br/>
              <w:t>angestrebt werden.</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Allgemeingültigkeit ist eng mit dem methodischen Vor</w:t>
              <w:softHyphen/>
              <w:t xml:space="preserve">gehen verbunden, wofür theoretische Ansprüche wie Objektivität, Gültigkeit und Zuverlässigkeit </w:t>
              <w:br/>
              <w:t>( …, Validität und Reliabilität) gelten:</w:t>
            </w:r>
          </w:p>
          <w:tbl>
            <w:tblPr>
              <w:jc w:val="left"/>
              <w:tblInd w:w="0" w:type="dxa"/>
              <w:tblBorders>
                <w:top w:val="nil"/>
                <w:left w:val="nil"/>
                <w:bottom w:val="nil"/>
                <w:insideH w:val="nil"/>
                <w:right w:val="nil"/>
                <w:insideV w:val="nil"/>
              </w:tblBorders>
              <w:tblCellMar>
                <w:top w:w="40" w:type="dxa"/>
                <w:left w:w="40" w:type="dxa"/>
                <w:bottom w:w="40" w:type="dxa"/>
                <w:right w:w="40" w:type="dxa"/>
              </w:tblCellMar>
            </w:tblPr>
            <w:tblGrid>
              <w:gridCol w:w="1141"/>
              <w:gridCol w:w="3620"/>
            </w:tblGrid>
            <w:tr>
              <w:trPr>
                <w:cantSplit w:val="false"/>
              </w:trPr>
              <w:tc>
                <w:tcPr>
                  <w:tcW w:w="1141"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Objektiv</w:t>
                  </w:r>
                </w:p>
              </w:tc>
              <w:tc>
                <w:tcPr>
                  <w:tcW w:w="3620"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20"/>
                      <w:szCs w:val="20"/>
                    </w:rPr>
                  </w:pPr>
                  <w:r>
                    <w:rPr>
                      <w:rFonts w:cs="Arial Narrow" w:ascii="Arial Narrow" w:hAnsi="Arial Narrow"/>
                      <w:b w:val="false"/>
                      <w:i w:val="false"/>
                      <w:color w:val="333333"/>
                      <w:sz w:val="20"/>
                      <w:szCs w:val="20"/>
                    </w:rPr>
                    <w:t>ist eine Arbeit, wenn die Ergebnisse unabhängig von der Person des Wissenschaftlers sind, d.h. andere Personen zum selben Ergebnis kommen würden.</w:t>
                  </w:r>
                </w:p>
              </w:tc>
            </w:tr>
            <w:tr>
              <w:trPr>
                <w:cantSplit w:val="false"/>
              </w:trPr>
              <w:tc>
                <w:tcPr>
                  <w:tcW w:w="1141"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Gültig</w:t>
                  </w:r>
                </w:p>
              </w:tc>
              <w:tc>
                <w:tcPr>
                  <w:tcW w:w="3620"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20"/>
                      <w:szCs w:val="20"/>
                    </w:rPr>
                  </w:pPr>
                  <w:r>
                    <w:rPr>
                      <w:rFonts w:cs="Arial Narrow" w:ascii="Arial Narrow" w:hAnsi="Arial Narrow"/>
                      <w:b w:val="false"/>
                      <w:i w:val="false"/>
                      <w:color w:val="333333"/>
                      <w:sz w:val="20"/>
                      <w:szCs w:val="20"/>
                    </w:rPr>
                    <w:t xml:space="preserve">ist eine Arbeit, wenn sie genau das untersucht bzw. misst, was sie zu messen beansprucht. Beispielsweise ist eine schriftliche Befragung von Schülerinnen und Schülern nicht valide, wenn die Ergebnisse auf Grund mangelnder Sprachkenntnisse – und nicht etwa auf Grund mangelnden Wissens – verfälscht werden. </w:t>
                  </w:r>
                </w:p>
              </w:tc>
            </w:tr>
            <w:tr>
              <w:trPr>
                <w:cantSplit w:val="false"/>
              </w:trPr>
              <w:tc>
                <w:tcPr>
                  <w:tcW w:w="1141"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Zuverlässig</w:t>
                  </w:r>
                </w:p>
              </w:tc>
              <w:tc>
                <w:tcPr>
                  <w:tcW w:w="3620"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b w:val="false"/>
                      <w:i w:val="false"/>
                      <w:color w:val="333333"/>
                      <w:sz w:val="20"/>
                      <w:szCs w:val="20"/>
                    </w:rPr>
                  </w:pPr>
                  <w:r>
                    <w:rPr>
                      <w:rFonts w:cs="Arial Narrow" w:ascii="Arial Narrow" w:hAnsi="Arial Narrow"/>
                      <w:b w:val="false"/>
                      <w:i w:val="false"/>
                      <w:color w:val="333333"/>
                      <w:sz w:val="20"/>
                      <w:szCs w:val="20"/>
                    </w:rPr>
                    <w:t>ist eine Arbeit, wenn die angewendeten Verfahren zuverlässig sind, d.h. wenn eine zeitlich nachgeordnete Untersuchung unter gleichen Bedingungen zu identischen Ergebnissen führt.</w:t>
                  </w:r>
                </w:p>
              </w:tc>
            </w:tr>
          </w:tbl>
          <w:p>
            <w:pPr>
              <w:pStyle w:val="Normal"/>
              <w:spacing w:lineRule="auto" w:line="288" w:before="0" w:after="113"/>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r>
          </w:p>
        </w:tc>
        <w:tc>
          <w:tcPr>
            <w:tcW w:w="4854"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color w:val="333333"/>
                <w:sz w:val="22"/>
                <w:szCs w:val="22"/>
              </w:rPr>
            </w:pPr>
            <w:r>
              <w:rPr>
                <w:rFonts w:cs="Arial Narrow" w:ascii="Arial Narrow" w:hAnsi="Arial Narrow"/>
                <w:b w:val="false"/>
                <w:i w:val="false"/>
                <w:color w:val="333333"/>
                <w:sz w:val="22"/>
                <w:szCs w:val="22"/>
              </w:rPr>
              <w:t>Diese drei Ansprüche sind stets zu berücksichtigen –obschon sie schwer zu erreichen scheinen. Zur Allgemein</w:t>
              <w:softHyphen/>
              <w:t xml:space="preserve">gültigkeit zählen zudem Vollständigkeit und </w:t>
            </w:r>
            <w:r>
              <w:rPr>
                <w:rFonts w:cs="Arial Narrow" w:ascii="Arial Narrow" w:hAnsi="Arial Narrow"/>
                <w:color w:val="333333"/>
                <w:sz w:val="22"/>
                <w:szCs w:val="22"/>
              </w:rPr>
              <w:t>angemessen breite Behandlung des Themas, d. h. die Vorarbeiten müssen berücksichtigt werden.</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Wissenschaftliches Schreiben und Argumentieren erfordert eine gewisse Tiefe und Ausführlichkeit. Dies ist notwendig, um Zusammenhänge deutlich zu machen und um nicht in unbegründeten oder gar oberflächlichen Behauptungen zu verbleiben. Aussagen sind fundiert, wenn sie begründet, aus Theorien hergeleitet oder mittels eigener Unter</w:t>
              <w:softHyphen/>
              <w:t>suchungen belegt werden.</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Wissenschaftliche Texte sind stets fachlich, logisch und sprachlich richtig (Duden-gemäß). Die Formulierungen sind präzise, unpersönlich und schlicht, prägnant und verständ</w:t>
              <w:softHyphen/>
              <w:t>lich. Sprachliche Verständlichkeit über Mutter- und Fach</w:t>
              <w:softHyphen/>
              <w:t>sprachen hinaus ist vor dem Hintergrund meist globaler und interdisziplinärer Forschungen grundlegend.</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Der wissenschaftliche Charakter zeigt sich nicht, wie häufig angenommen, in komplizierten, verschachtelten und von Fremdwörtern durchsetzten Sprachkonstruk</w:t>
              <w:softHyphen/>
              <w:t>tionen. Den</w:t>
              <w:softHyphen/>
              <w:t>noch sind ggf. kompliziertere Formulierungen als in der Umgangssprache unvermeidlich, da Fach</w:t>
              <w:softHyphen/>
              <w:t>sprache und Logik exakt und alle Aussagen präzise und unmiss</w:t>
              <w:softHyphen/>
              <w:t>ver</w:t>
              <w:softHyphen/>
              <w:t xml:space="preserve">ständlich aufgeschrieben sein müssen. Einfache und unmissverständliche Formulierungen sind </w:t>
              <w:br/>
              <w:t>immer zu bevorzugen.</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 xml:space="preserve">Wesentliche Begriffe einer Arbeit werden zu Beginn erklärt und für die Arbeit klar bestimmt. Selbstverständlich werden nicht alle, sondern lediglich wichtige und häufig verwendete Begriffe definiert – sog. Schlüsselbegriffe des Themas, die nicht selten bereits im Titel auftauchen.  </w:t>
            </w:r>
          </w:p>
        </w:tc>
        <w:tc>
          <w:tcPr>
            <w:tcW w:w="4860" w:type="dxa"/>
            <w:tcBorders>
              <w:top w:val="nil"/>
              <w:left w:val="nil"/>
              <w:bottom w:val="nil"/>
              <w:insideH w:val="nil"/>
              <w:right w:val="nil"/>
              <w:insideV w:val="nil"/>
            </w:tcBorders>
            <w:shd w:fill="FFFFFF" w:val="clear"/>
          </w:tcPr>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 xml:space="preserve">Mit der begründeten Entscheidung für eine bestimmte Definition ist eine Voraussetzung geschaffen für exaktes Argumentieren und Begründen. </w:t>
            </w:r>
          </w:p>
          <w:p>
            <w:pPr>
              <w:pStyle w:val="Normal"/>
              <w:spacing w:lineRule="auto" w:line="288" w:before="0" w:after="113"/>
              <w:rPr>
                <w:rFonts w:cs="Arial Narrow" w:ascii="Arial Narrow" w:hAnsi="Arial Narrow"/>
                <w:color w:val="333333"/>
                <w:sz w:val="22"/>
                <w:szCs w:val="22"/>
              </w:rPr>
            </w:pPr>
            <w:r>
              <w:rPr>
                <w:rFonts w:cs="Arial Narrow" w:ascii="Arial Narrow" w:hAnsi="Arial Narrow"/>
                <w:color w:val="333333"/>
                <w:sz w:val="22"/>
                <w:szCs w:val="22"/>
              </w:rPr>
              <w:t>Wissenschaftliche Redlichkeit ist selbstverständlich in Kreisen von Bildung und Wissenschaft. Mit Regeln zum Zitieren, Paraphrasieren, exakt systematischen Vor</w:t>
              <w:softHyphen/>
              <w:t>gehen, sorgfältigen Layout, zur Quellenarbeit, … wird dies gesichert und auch einklagbar. Sorgfalt und Umsicht während des Arbeitspro</w:t>
              <w:softHyphen/>
              <w:t>zesses zeigen sich an diesen Detailarbeiten. Besonders wichtig ist der Anspruch, sämtliche Bezugs</w:t>
              <w:softHyphen/>
              <w:t>quellen genau anzugeben. Wer sich fremder Gedanken bedient, ohne dies auszuweisen, begeht geistigen Diebstahl.</w:t>
            </w:r>
          </w:p>
          <w:p>
            <w:pPr>
              <w:pStyle w:val="Normal"/>
              <w:spacing w:lineRule="auto" w:line="288" w:before="0" w:after="113"/>
              <w:rPr>
                <w:rFonts w:cs="Arial Narrow" w:ascii="Arial Narrow" w:hAnsi="Arial Narrow"/>
                <w:b w:val="false"/>
                <w:i w:val="false"/>
                <w:color w:val="333333"/>
                <w:sz w:val="22"/>
                <w:szCs w:val="22"/>
              </w:rPr>
            </w:pPr>
            <w:r>
              <w:rPr>
                <w:rFonts w:cs="Arial Narrow" w:ascii="Arial Narrow" w:hAnsi="Arial Narrow"/>
                <w:b w:val="false"/>
                <w:i w:val="false"/>
                <w:color w:val="333333"/>
                <w:sz w:val="22"/>
                <w:szCs w:val="22"/>
              </w:rPr>
              <w:t>Wissenschaftliches Arbeiten ist mehr als die Addition der o.g. Regeln. Im Prozess des wissenschaftlichen Arbeitens und Schreibens offenbaren sich permanent zahlreiche Span</w:t>
              <w:softHyphen/>
              <w:t>nungsfelder – z.B. zwischen Eigeninteresse und Machbarkeit, zwischen eigener Meinung und wissen</w:t>
              <w:softHyphen/>
              <w:t>schaft</w:t>
              <w:softHyphen/>
              <w:t>licher Begrün–dung, zwischen den vorhandenen Ressourcen und den wissenschaftlichen Ansprüchen, zwischen der Komplexität der Welt und der engen und kleinen Frage</w:t>
              <w:softHyphen/>
              <w:t>stellung oder zwischen der ersten Idee bis zur Abgabe einer Arbeit. Eine Definition wissenschaft</w:t>
              <w:softHyphen/>
              <w:t>lichen Arbeitens kann sich daher nicht aus</w:t>
              <w:softHyphen/>
              <w:t>schließlichßlich auf den objektiven Charakter von Wissen</w:t>
              <w:softHyphen/>
              <w:t>schaft zurückziehen. Ein Vorschlag für eine Definition wissen</w:t>
              <w:softHyphen/>
              <w:t>schaftlichen Arbeitens wäre:„Wissenschaftliches Arbeiten zeigt sich in einer systema</w:t>
              <w:softHyphen/>
              <w:t>tischen und methodisch kontrol</w:t>
              <w:softHyphen/>
              <w:t>lierten Verbindung eigen</w:t>
              <w:softHyphen/>
              <w:t>ständiger und kreativer Gedanken mit bereits vorliegenden wissenschaftlichen Befunden. Das Vor</w:t>
              <w:softHyphen/>
              <w:t>gehen ist sorgfältig, begriffsklärend und fach- bzw. disziplinbezogen.“   (Thorsten Bohl</w:t>
            </w:r>
            <w:r>
              <w:rPr>
                <w:rFonts w:cs="Arial Narrow" w:ascii="Arial Narrow" w:hAnsi="Arial Narrow"/>
                <w:b w:val="false"/>
                <w:i w:val="false"/>
                <w:color w:val="333333"/>
                <w:sz w:val="22"/>
                <w:szCs w:val="22"/>
              </w:rPr>
              <w:t>)</w:t>
            </w:r>
          </w:p>
        </w:tc>
      </w:tr>
    </w:tbl>
    <w:p>
      <w:pPr>
        <w:pStyle w:val="Normal"/>
        <w:spacing w:lineRule="auto" w:line="312" w:before="0" w:after="113"/>
        <w:rPr/>
      </w:pPr>
      <w:r>
        <w:rPr/>
      </w:r>
    </w:p>
    <w:sectPr>
      <w:type w:val="nextPage"/>
      <w:pgSz w:orient="landscape" w:w="16838" w:h="11906"/>
      <w:pgMar w:left="1134" w:right="1134"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character" w:styleId="Internetlink">
    <w:name w:val="Internetlink"/>
    <w:rPr>
      <w:color w:val="00008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mithw.de/dat/wp/5320.html" TargetMode="External"/><Relationship Id="rId3" Type="http://schemas.openxmlformats.org/officeDocument/2006/relationships/hyperlink" Target="http://www.mithw.de/dat/wp/def.html" TargetMode="External"/><Relationship Id="rId4" Type="http://schemas.openxmlformats.org/officeDocument/2006/relationships/hyperlink" Target="http://www.mithw.de/dat/wp/4310x.html" TargetMode="External"/><Relationship Id="rId5" Type="http://schemas.openxmlformats.org/officeDocument/2006/relationships/hyperlink" Target="http://www.mithw.de/dat/wp/zit.html" TargetMode="External"/><Relationship Id="rId6" Type="http://schemas.openxmlformats.org/officeDocument/2006/relationships/hyperlink" Target="http://www.mithw.de/dat/wp/def.html" TargetMode="External"/><Relationship Id="rId7" Type="http://schemas.openxmlformats.org/officeDocument/2006/relationships/hyperlink" Target="http://www.mithw.de/dat/u/operatoren8.html" TargetMode="External"/><Relationship Id="rId8" Type="http://schemas.openxmlformats.org/officeDocument/2006/relationships/hyperlink" Target="http://www.mithw.de/dat/wp/zit2.html" TargetMode="External"/><Relationship Id="rId9" Type="http://schemas.openxmlformats.org/officeDocument/2006/relationships/hyperlink" Target="http://www.mithw.de/dat/u/operatoren9.html" TargetMode="External"/><Relationship Id="rId10" Type="http://schemas.openxmlformats.org/officeDocument/2006/relationships/hyperlink" Target="http://www.mithw.de/dat/wp/zit3.html" TargetMode="External"/><Relationship Id="rId11" Type="http://schemas.openxmlformats.org/officeDocument/2006/relationships/hyperlink" Target="http://blogs.epb.uni-hamburg.de/karin/files/2014/04/Bohl_Wissenschaftl_Arbeiten-P&#228;dagogik.pdf" TargetMode="Externa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2018-02-10T17:42:43Z</dcterms:created>
  <dc:language>de-DE</dc:language>
  <cp:lastPrinted>2018-02-10T22:35:00Z</cp:lastPrinted>
  <cp:revision>0</cp:revision>
</cp:coreProperties>
</file>